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方正小标宋简体" w:hAnsi="方正小标宋简体" w:eastAsia="方正小标宋简体" w:cs="方正小标宋简体"/>
          <w:i w:val="0"/>
          <w:caps w:val="0"/>
          <w:color w:val="262626"/>
          <w:spacing w:val="0"/>
          <w:sz w:val="36"/>
          <w:szCs w:val="36"/>
        </w:rPr>
      </w:pPr>
      <w:r>
        <w:rPr>
          <w:rStyle w:val="4"/>
          <w:rFonts w:hint="eastAsia" w:ascii="方正小标宋简体" w:hAnsi="方正小标宋简体" w:eastAsia="方正小标宋简体" w:cs="方正小标宋简体"/>
          <w:b/>
          <w:i w:val="0"/>
          <w:caps w:val="0"/>
          <w:color w:val="262626"/>
          <w:spacing w:val="0"/>
          <w:sz w:val="36"/>
          <w:szCs w:val="36"/>
        </w:rPr>
        <w:t>在深圳经济特区建立40周年庆祝大会上的讲话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方正小标宋简体" w:hAnsi="方正小标宋简体" w:eastAsia="方正小标宋简体" w:cs="方正小标宋简体"/>
          <w:i w:val="0"/>
          <w:caps w:val="0"/>
          <w:color w:val="262626"/>
          <w:spacing w:val="0"/>
          <w:sz w:val="36"/>
          <w:szCs w:val="36"/>
        </w:rPr>
      </w:pPr>
      <w:r>
        <w:rPr>
          <w:rFonts w:hint="eastAsia" w:ascii="方正小标宋简体" w:hAnsi="方正小标宋简体" w:eastAsia="方正小标宋简体" w:cs="方正小标宋简体"/>
          <w:i w:val="0"/>
          <w:caps w:val="0"/>
          <w:color w:val="262626"/>
          <w:spacing w:val="0"/>
          <w:sz w:val="36"/>
          <w:szCs w:val="36"/>
        </w:rPr>
        <w:t>（2020年10月14日）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outlineLvl w:val="9"/>
        <w:rPr>
          <w:rFonts w:hint="eastAsia" w:ascii="方正小标宋简体" w:hAnsi="方正小标宋简体" w:eastAsia="方正小标宋简体" w:cs="方正小标宋简体"/>
          <w:i w:val="0"/>
          <w:caps w:val="0"/>
          <w:color w:val="262626"/>
          <w:spacing w:val="0"/>
          <w:sz w:val="30"/>
          <w:szCs w:val="30"/>
        </w:rPr>
      </w:pPr>
      <w:r>
        <w:rPr>
          <w:rFonts w:hint="eastAsia" w:ascii="方正小标宋简体" w:hAnsi="方正小标宋简体" w:eastAsia="方正小标宋简体" w:cs="方正小标宋简体"/>
          <w:i w:val="0"/>
          <w:caps w:val="0"/>
          <w:color w:val="262626"/>
          <w:spacing w:val="0"/>
          <w:sz w:val="30"/>
          <w:szCs w:val="30"/>
        </w:rPr>
        <w:t>习近平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——40年来，深圳坚持解放思想、与时俱进，率先进行市场取向的经济体制改革，首创1000多项改革举措，奏响了实干兴邦的时代强音，实现了由经济体制改革到全面深化改革的历史性跨越。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40年春风化雨，40年春华秋实。当年的蛇口开山炮声犹然在耳，如今的深圳经济特区生机勃勃，向世界展示了我国改革开放的磅礴伟力，展示了中国特色社会主义的光明前景。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深圳等经济特区的成功实践充分证明，党中央关于兴办经济特区的战略决策是完全正确的。经济特区不仅要继续办下去，而且要办得更好、办得水平更高。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以上十条，是经济特区40年改革开放、创新发展积累的宝贵经验，对新时代经济特区建设具有重要指导意义，必须倍加珍惜、长期坚持，在实践中不断丰富和发展。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第三，锐意开拓全面扩大开放。当前，世界经济面临诸多复杂挑战，我们决不能被逆风和回头浪所阻，要站在历史正确的一边，坚定不移全面扩大开放，推动建设开放型世界经济，推动构建人类命运共同体。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第五，真抓实干践行以人民为中心的发展思想。中国共产党根基在人民、血脉在人民。人民对美好生活的向往就是我们的奋斗目标。经济特区改革发展的出发点和落脚点都要聚焦到这个目标上来。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女士们、先生们、同志们！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both"/>
        <w:textAlignment w:val="auto"/>
        <w:outlineLvl w:val="9"/>
        <w:rPr>
          <w:rFonts w:hint="eastAsia" w:ascii="仿宋" w:hAnsi="仿宋" w:eastAsia="仿宋" w:cs="仿宋"/>
          <w:i w:val="0"/>
          <w:caps w:val="0"/>
          <w:color w:val="262626"/>
          <w:spacing w:val="0"/>
          <w:sz w:val="32"/>
          <w:szCs w:val="32"/>
        </w:rPr>
      </w:pPr>
      <w:r>
        <w:rPr>
          <w:rFonts w:hint="eastAsia" w:ascii="仿宋" w:hAnsi="仿宋" w:eastAsia="仿宋" w:cs="仿宋"/>
          <w:i w:val="0"/>
          <w:caps w:val="0"/>
          <w:color w:val="262626"/>
          <w:spacing w:val="0"/>
          <w:sz w:val="32"/>
          <w:szCs w:val="32"/>
        </w:rPr>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pPr>
        <w:keepNext w:val="0"/>
        <w:keepLines w:val="0"/>
        <w:pageBreakBefore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3234F"/>
    <w:rsid w:val="5F50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2020-10-16T02:49:04Z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